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"Accounting Reference Date"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1.2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heading=h.30j0zll" w:id="1"/>
            <w:bookmarkEnd w:id="1"/>
            <w:r w:rsidDel="00000000" w:rsidR="00000000" w:rsidRPr="00000000">
              <w:rPr>
                <w:sz w:val="24"/>
                <w:szCs w:val="24"/>
                <w:rtl w:val="0"/>
              </w:rPr>
              <w:t xml:space="preserve">the occurrence of one or more events which, either separately or cumulatively, mean that the Deliverables, or a material part thereof will be unavailable (or could reasonably be anticipated to be unavailable);</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Deliverables"</w:t>
            </w:r>
            <w:r w:rsidDel="00000000" w:rsidR="00000000" w:rsidRPr="00000000">
              <w:rPr>
                <w:rtl w:val="0"/>
              </w:rPr>
            </w:r>
          </w:p>
        </w:tc>
        <w:tc>
          <w:tcPr/>
          <w:p w:rsidR="00000000" w:rsidDel="00000000" w:rsidP="00000000" w:rsidRDefault="00000000" w:rsidRPr="00000000" w14:paraId="0000000C">
            <w:pPr>
              <w:ind w:left="0" w:firstLine="0"/>
              <w:rPr>
                <w:rFonts w:ascii="Arial" w:cs="Arial" w:eastAsia="Arial" w:hAnsi="Arial"/>
                <w:sz w:val="24"/>
                <w:szCs w:val="24"/>
              </w:rPr>
            </w:pPr>
            <w:r w:rsidDel="00000000" w:rsidR="00000000" w:rsidRPr="00000000">
              <w:rPr>
                <w:sz w:val="24"/>
                <w:szCs w:val="24"/>
                <w:rtl w:val="0"/>
              </w:rPr>
              <w:t xml:space="preserve">the Deliverables embodied in the processes and procedures for restoring the provision of Deliverables following the occurrence of a Disaster;</w:t>
            </w:r>
            <w:r w:rsidDel="00000000" w:rsidR="00000000" w:rsidRPr="00000000">
              <w:rPr>
                <w:rtl w:val="0"/>
              </w:rPr>
            </w:r>
          </w:p>
          <w:p w:rsidR="00000000" w:rsidDel="00000000" w:rsidP="00000000" w:rsidRDefault="00000000" w:rsidRPr="00000000" w14:paraId="0000000D">
            <w:pPr>
              <w:ind w:firstLine="1418"/>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Plan"</w:t>
            </w: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has the meaning given to it in Paragraph 1.3.3 of this Schedule;</w:t>
            </w:r>
            <w:r w:rsidDel="00000000" w:rsidR="00000000" w:rsidRPr="00000000">
              <w:rPr>
                <w:rtl w:val="0"/>
              </w:rPr>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System"</w:t>
            </w:r>
            <w:r w:rsidDel="00000000" w:rsidR="00000000" w:rsidRPr="00000000">
              <w:rPr>
                <w:rtl w:val="0"/>
              </w:rPr>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the system embodied in the processes and procedures for restoring the provision of Deliverables following the occurrence of a Disaster;</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"Related Supplier"</w:t>
            </w: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any person who provides Deliverables to the Buyer which are related to the Deliverables from time to time;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"Review Report"</w:t>
            </w: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5.3 of this Schedule; and</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sz w:val="24"/>
                <w:szCs w:val="24"/>
                <w:rtl w:val="0"/>
              </w:rPr>
              <w:t xml:space="preserve">has the meaning given to it in Paragraph 5.3 of this Schedule</w:t>
            </w:r>
            <w:r w:rsidDel="00000000" w:rsidR="00000000" w:rsidRPr="00000000">
              <w:rPr>
                <w:rFonts w:ascii="Arial" w:cs="Arial" w:eastAsia="Arial" w:hAnsi="Arial"/>
                <w:sz w:val="24"/>
                <w:szCs w:val="24"/>
                <w:rtl w:val="0"/>
              </w:rPr>
              <w:t xml:space="preserve">.</w:t>
            </w:r>
            <w:r w:rsidDel="00000000" w:rsidR="00000000" w:rsidRPr="00000000">
              <w:rPr>
                <w:rtl w:val="0"/>
              </w:rPr>
            </w:r>
          </w:p>
        </w:tc>
      </w:tr>
    </w:tbl>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9">
      <w:pPr>
        <w:ind w:firstLine="1418"/>
        <w:rPr>
          <w:rFonts w:ascii="Arial" w:cs="Arial" w:eastAsia="Arial" w:hAnsi="Arial"/>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BCDR Plan</w:t>
      </w:r>
    </w:p>
    <w:p w:rsidR="00000000" w:rsidDel="00000000" w:rsidP="00000000" w:rsidRDefault="00000000" w:rsidRPr="00000000" w14:paraId="0000001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20">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2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2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2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highlight w:val="yellow"/>
        </w:rPr>
      </w:pPr>
      <w:bookmarkStart w:colFirst="0" w:colLast="0" w:name="_heading=h.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[and.</w:t>
      </w:r>
    </w:p>
    <w:p w:rsidR="00000000" w:rsidDel="00000000" w:rsidP="00000000" w:rsidRDefault="00000000" w:rsidRPr="00000000" w14:paraId="0000002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highlight w:val="yellow"/>
          <w:rtl w:val="0"/>
        </w:rPr>
        <w:t xml:space="preserve">Section 4 which shall relate to an Insolvency Event of the Supplier, and Key-Subcontractors and/or any Supplier Group member (the “</w:t>
      </w:r>
      <w:r w:rsidDel="00000000" w:rsidR="00000000" w:rsidRPr="00000000">
        <w:rPr>
          <w:b w:val="1"/>
          <w:color w:val="000000"/>
          <w:sz w:val="24"/>
          <w:szCs w:val="24"/>
          <w:highlight w:val="yellow"/>
          <w:rtl w:val="0"/>
        </w:rPr>
        <w:t xml:space="preserve">Insolvency Continuity Plan</w:t>
      </w:r>
      <w:r w:rsidDel="00000000" w:rsidR="00000000" w:rsidRPr="00000000">
        <w:rPr>
          <w:color w:val="000000"/>
          <w:sz w:val="24"/>
          <w:szCs w:val="24"/>
          <w:highlight w:val="yellow"/>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25">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1t3h5sf" w:id="7"/>
      <w:bookmarkEnd w:id="7"/>
      <w:r w:rsidDel="00000000" w:rsidR="00000000" w:rsidRPr="00000000">
        <w:rPr>
          <w:rFonts w:ascii="Arial" w:cs="Arial" w:eastAsia="Arial" w:hAnsi="Arial"/>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7">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ihv636" w:id="8"/>
      <w:bookmarkEnd w:id="8"/>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2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1ci93xb" w:id="9"/>
      <w:bookmarkEnd w:id="9"/>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Suppliers in each case as notified to the Supplier by the Buyer from time to time;</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D">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E">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2F">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30">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an Insolvency Event of the Supplier, any Key Subcontractors and/or Supplier Group member;</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3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3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3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3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2hioqz" w:id="10"/>
      <w:bookmarkEnd w:id="10"/>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3B">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3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3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4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41">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42">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1"/>
      <w:bookmarkEnd w:id="11"/>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4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4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46">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4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4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s8eyo1" w:id="12"/>
      <w:bookmarkEnd w:id="12"/>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4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3"/>
      <w:bookmarkEnd w:id="13"/>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D">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5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5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5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5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5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5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5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5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C">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4"/>
      <w:bookmarkEnd w:id="14"/>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5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6in1rg" w:id="15"/>
      <w:bookmarkEnd w:id="15"/>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lnxbz9" w:id="16"/>
      <w:bookmarkEnd w:id="16"/>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5nkun2" w:id="17"/>
      <w:bookmarkEnd w:id="17"/>
      <w:r w:rsidDel="00000000" w:rsidR="00000000" w:rsidRPr="00000000">
        <w:rPr>
          <w:color w:val="000000"/>
          <w:sz w:val="24"/>
          <w:szCs w:val="24"/>
          <w:rtl w:val="0"/>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6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18"/>
      <w:bookmarkEnd w:id="18"/>
      <w:r w:rsidDel="00000000" w:rsidR="00000000" w:rsidRPr="00000000">
        <w:rPr>
          <w:color w:val="000000"/>
          <w:sz w:val="24"/>
          <w:szCs w:val="24"/>
          <w:rtl w:val="0"/>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61">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19"/>
      <w:bookmarkEnd w:id="19"/>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62">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0"/>
      <w:bookmarkEnd w:id="20"/>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63">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6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w:cs="Arial" w:eastAsia="Arial" w:hAnsi="Arial"/>
          <w:b w:val="1"/>
          <w:color w:val="000000"/>
          <w:sz w:val="24"/>
          <w:szCs w:val="24"/>
        </w:rPr>
      </w:pPr>
      <w:bookmarkStart w:colFirst="0" w:colLast="0" w:name="_heading=h.z337ya" w:id="21"/>
      <w:bookmarkEnd w:id="21"/>
      <w:r w:rsidDel="00000000" w:rsidR="00000000" w:rsidRPr="00000000">
        <w:rPr>
          <w:rFonts w:ascii="Arial" w:cs="Arial" w:eastAsia="Arial" w:hAnsi="Arial"/>
          <w:b w:val="1"/>
          <w:color w:val="000000"/>
          <w:sz w:val="24"/>
          <w:szCs w:val="24"/>
          <w:rtl w:val="0"/>
        </w:rPr>
        <w:t xml:space="preserve">Testing the BCDR Plan</w:t>
      </w:r>
    </w:p>
    <w:p w:rsidR="00000000" w:rsidDel="00000000" w:rsidP="00000000" w:rsidRDefault="00000000" w:rsidRPr="00000000" w14:paraId="00000065">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2"/>
      <w:bookmarkEnd w:id="22"/>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6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6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69">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3"/>
      <w:bookmarkEnd w:id="23"/>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A">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B">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C">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7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4"/>
      <w:bookmarkEnd w:id="24"/>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71">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color w:val="000000"/>
          <w:sz w:val="24"/>
          <w:szCs w:val="24"/>
        </w:rPr>
      </w:pPr>
      <w:bookmarkStart w:colFirst="0" w:colLast="0" w:name="_heading=h.2xcytpi" w:id="25"/>
      <w:bookmarkEnd w:id="25"/>
      <w:r w:rsidDel="00000000" w:rsidR="00000000" w:rsidRPr="00000000">
        <w:rPr>
          <w:rFonts w:ascii="Arial" w:cs="Arial" w:eastAsia="Arial" w:hAnsi="Arial"/>
          <w:b w:val="1"/>
          <w:color w:val="000000"/>
          <w:sz w:val="24"/>
          <w:szCs w:val="24"/>
          <w:rtl w:val="0"/>
        </w:rPr>
        <w:t xml:space="preserve">Invoking the BCDR Plan</w:t>
      </w:r>
    </w:p>
    <w:p w:rsidR="00000000" w:rsidDel="00000000" w:rsidP="00000000" w:rsidRDefault="00000000" w:rsidRPr="00000000" w14:paraId="00000072">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7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Circumstances beyond your control</w:t>
      </w:r>
    </w:p>
    <w:p w:rsidR="00000000" w:rsidDel="00000000" w:rsidP="00000000" w:rsidRDefault="00000000" w:rsidRPr="00000000" w14:paraId="00000074">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7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color w:val="000000"/>
          <w:sz w:val="24"/>
          <w:szCs w:val="24"/>
          <w:highlight w:val="yellow"/>
        </w:rPr>
      </w:pPr>
      <w:bookmarkStart w:colFirst="0" w:colLast="0" w:name="_heading=h.1hmsyys" w:id="26"/>
      <w:bookmarkEnd w:id="26"/>
      <w:r w:rsidDel="00000000" w:rsidR="00000000" w:rsidRPr="00000000">
        <w:rPr>
          <w:rFonts w:ascii="Arial" w:cs="Arial" w:eastAsia="Arial" w:hAnsi="Arial"/>
          <w:b w:val="1"/>
          <w:color w:val="000000"/>
          <w:sz w:val="24"/>
          <w:szCs w:val="24"/>
          <w:highlight w:val="yellow"/>
          <w:rtl w:val="0"/>
        </w:rPr>
        <w:t xml:space="preserve">[Insolvency Continuity Plan (Section 4)</w:t>
      </w:r>
    </w:p>
    <w:p w:rsidR="00000000" w:rsidDel="00000000" w:rsidP="00000000" w:rsidRDefault="00000000" w:rsidRPr="00000000" w14:paraId="00000077">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78">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The Insolvency Continuity Plan shall include the following:</w:t>
      </w:r>
    </w:p>
    <w:p w:rsidR="00000000" w:rsidDel="00000000" w:rsidP="00000000" w:rsidRDefault="00000000" w:rsidRPr="00000000" w14:paraId="0000007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7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7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plans to manage and mitigate identified risks;</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7F">
      <w:pPr>
        <w:numPr>
          <w:ilvl w:val="1"/>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Paragraph 2.1.6(c) is amended with the addition of the words:</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color w:val="000000"/>
          <w:sz w:val="24"/>
          <w:szCs w:val="24"/>
          <w:highlight w:val="yellow"/>
          <w:rtl w:val="0"/>
        </w:rPr>
        <w:t xml:space="preserve">as may be more fully described in the Insolvency Continuity Plan</w:t>
      </w:r>
    </w:p>
    <w:p w:rsidR="00000000" w:rsidDel="00000000" w:rsidP="00000000" w:rsidRDefault="00000000" w:rsidRPr="00000000" w14:paraId="00000081">
      <w:pPr>
        <w:numPr>
          <w:ilvl w:val="1"/>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Add new paragraph 2.1.15:</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3">
      <w:pPr>
        <w:numPr>
          <w:ilvl w:val="1"/>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Add new paragraph 7.2:</w:t>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Insolvency Continuity Plan element of the BCDR Plan, including any linked elements in other parts of the BCDR Plan, shall be invoked by the Supplier:</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highlight w:val="yellow"/>
        </w:rPr>
      </w:pPr>
      <w:r w:rsidDel="00000000" w:rsidR="00000000" w:rsidRPr="00000000">
        <w:rPr>
          <w:color w:val="000000"/>
          <w:sz w:val="24"/>
          <w:szCs w:val="24"/>
          <w:highlight w:val="yellow"/>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rPr>
      </w:pPr>
      <w:r w:rsidDel="00000000" w:rsidR="00000000" w:rsidRPr="00000000">
        <w:rPr>
          <w:color w:val="000000"/>
          <w:sz w:val="24"/>
          <w:szCs w:val="24"/>
          <w:highlight w:val="yellow"/>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heading=h.23ckvvd" w:id="27"/>
      <w:bookmarkEnd w:id="27"/>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r w:rsidDel="00000000" w:rsidR="00000000" w:rsidRPr="00000000">
      <w:rPr>
        <w:sz w:val="20"/>
        <w:szCs w:val="20"/>
        <w:rtl w:val="0"/>
      </w:rPr>
      <w:t xml:space="preserve">6302</w:t>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bookmarkStart w:colFirst="0" w:colLast="0" w:name="_heading=h.41mghml" w:id="28"/>
    <w:bookmarkEnd w:id="28"/>
    <w:r w:rsidDel="00000000" w:rsidR="00000000" w:rsidRPr="00000000">
      <w:rPr>
        <w:color w:val="000000"/>
        <w:sz w:val="20"/>
        <w:szCs w:val="20"/>
        <w:rtl w:val="0"/>
      </w:rPr>
      <w:t xml:space="preserve">Model Version: v3.</w:t>
    </w:r>
    <w:r w:rsidDel="00000000" w:rsidR="00000000" w:rsidRPr="00000000">
      <w:rPr>
        <w:sz w:val="20"/>
        <w:szCs w:val="20"/>
        <w:rtl w:val="0"/>
      </w:rPr>
      <w:t xml:space="preserve">5</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8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RM6302</w:t>
    </w:r>
  </w:p>
  <w:p w:rsidR="00000000" w:rsidDel="00000000" w:rsidP="00000000" w:rsidRDefault="00000000" w:rsidRPr="00000000" w14:paraId="0000008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8E">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7"/>
      <w:numFmt w:val="decimal"/>
      <w:lvlText w:val="%1"/>
      <w:lvlJc w:val="left"/>
      <w:pPr>
        <w:ind w:left="360" w:hanging="360"/>
      </w:pPr>
      <w:rPr/>
    </w:lvl>
    <w:lvl w:ilvl="1">
      <w:start w:val="2"/>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2"/>
      <w:numFmt w:val="decimal"/>
      <w:lvlText w:val="%1"/>
      <w:lvlJc w:val="left"/>
      <w:pPr>
        <w:ind w:left="660" w:hanging="660"/>
      </w:pPr>
      <w:rPr/>
    </w:lvl>
    <w:lvl w:ilvl="1">
      <w:start w:val="1"/>
      <w:numFmt w:val="decimal"/>
      <w:lvlText w:val="%1.%2"/>
      <w:lvlJc w:val="left"/>
      <w:pPr>
        <w:ind w:left="1380" w:hanging="660"/>
      </w:pPr>
      <w:rPr/>
    </w:lvl>
    <w:lvl w:ilvl="2">
      <w:start w:val="15"/>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3" w:customStyle="1">
    <w:name w:val="3"/>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2" w:customStyle="1">
    <w:name w:val="2"/>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1" w:customStyle="1">
    <w:name w:val="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I1o5csSUgHLznH1ENkbiOEt2SQ==">CgMxLjAyCGguZ2pkZ3hzMgloLjMwajB6bGwyCWguMWZvYjl0ZTIJaC4zem55c2g3MgloLjJldDkycDAyCGgudHlqY3d0MgloLjNkeTZ2a20yCWguMXQzaDVzZjIIaC5paHY2MzYyCWguMWNpOTN4YjIJaC4zMmhpb3F6MgloLjRkMzRvZzgyCWguMnM4ZXlvMTIJaC4xN2RwOHZ1MgloLjNyZGNyam4yCWguMjZpbjFyZzIIaC5sbnhiejkyCWguMzVua3VuMjIJaC4xa3N2NHV2MgloLjQ0c2luaW8yCWguMmp4c3hxaDIIaC56MzM3eWEyCWguM2oycXFtMzIJaC4xeTgxMHR3MgloLjRpN29qaHAyCWguMnhjeXRwaTIJaC4xaG1zeXlzMgloLjIzY2t2dmQyCWguNDFtZ2htbDgAciExNi1JWWpTWlc3aHVwT2l1VjB1SEIwSld6a2I1QjFkQk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2023-02-27T10:34:00Z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